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566B" w14:textId="0CD5F74A" w:rsidR="003548C2" w:rsidRPr="007C112B" w:rsidRDefault="003548C2">
      <w:pPr>
        <w:rPr>
          <w:rFonts w:cstheme="minorHAnsi"/>
          <w:sz w:val="20"/>
          <w:szCs w:val="20"/>
        </w:rPr>
      </w:pPr>
    </w:p>
    <w:tbl>
      <w:tblPr>
        <w:tblStyle w:val="LightList-Accent6"/>
        <w:tblpPr w:leftFromText="180" w:rightFromText="180" w:vertAnchor="text" w:horzAnchor="page" w:tblpX="11761" w:tblpY="211"/>
        <w:tblW w:w="0" w:type="auto"/>
        <w:tblLook w:val="04A0" w:firstRow="1" w:lastRow="0" w:firstColumn="1" w:lastColumn="0" w:noHBand="0" w:noVBand="1"/>
      </w:tblPr>
      <w:tblGrid>
        <w:gridCol w:w="2447"/>
      </w:tblGrid>
      <w:tr w:rsidR="00A063B8" w:rsidRPr="007C112B" w14:paraId="526E70A0" w14:textId="77777777" w:rsidTr="00A06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14:paraId="70DC6729" w14:textId="5FB50852" w:rsidR="00A063B8" w:rsidRPr="007C112B" w:rsidRDefault="00A063B8" w:rsidP="00A063B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C112B">
              <w:rPr>
                <w:rFonts w:cstheme="minorHAnsi"/>
                <w:b w:val="0"/>
                <w:bCs w:val="0"/>
                <w:sz w:val="20"/>
                <w:szCs w:val="20"/>
              </w:rPr>
              <w:t xml:space="preserve">Revised: </w:t>
            </w:r>
            <w:r w:rsidR="00597ACC">
              <w:rPr>
                <w:rFonts w:cstheme="minorHAnsi"/>
                <w:b w:val="0"/>
                <w:bCs w:val="0"/>
                <w:sz w:val="20"/>
                <w:szCs w:val="20"/>
              </w:rPr>
              <w:t xml:space="preserve">August </w:t>
            </w:r>
            <w:r w:rsidR="007C22DF">
              <w:rPr>
                <w:rFonts w:cstheme="minorHAnsi"/>
                <w:b w:val="0"/>
                <w:bCs w:val="0"/>
                <w:sz w:val="20"/>
                <w:szCs w:val="20"/>
              </w:rPr>
              <w:t>30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, 2021</w:t>
            </w:r>
          </w:p>
        </w:tc>
      </w:tr>
      <w:tr w:rsidR="00A063B8" w:rsidRPr="007C112B" w14:paraId="73A2BB12" w14:textId="77777777" w:rsidTr="00A06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14:paraId="71E39725" w14:textId="77777777" w:rsidR="00A063B8" w:rsidRPr="004970EA" w:rsidRDefault="00A063B8" w:rsidP="00A063B8">
            <w:pPr>
              <w:rPr>
                <w:rFonts w:cstheme="minorHAnsi"/>
                <w:sz w:val="20"/>
                <w:szCs w:val="20"/>
              </w:rPr>
            </w:pPr>
            <w:r w:rsidRPr="004970EA">
              <w:rPr>
                <w:rFonts w:cstheme="minorHAnsi"/>
                <w:sz w:val="20"/>
                <w:szCs w:val="20"/>
              </w:rPr>
              <w:t>Location:</w:t>
            </w:r>
          </w:p>
          <w:p w14:paraId="432A4B4C" w14:textId="77777777" w:rsidR="00A063B8" w:rsidRPr="00A23019" w:rsidRDefault="00A063B8" w:rsidP="00A063B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1475 E El Segund</w:t>
            </w:r>
            <w:r w:rsidRPr="00A23019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o Blvd</w:t>
            </w:r>
          </w:p>
          <w:p w14:paraId="489768F8" w14:textId="77777777" w:rsidR="00A063B8" w:rsidRPr="00C60DA9" w:rsidRDefault="00A063B8" w:rsidP="00A063B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23019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t>1320 E Franklin Ave</w:t>
            </w:r>
          </w:p>
        </w:tc>
      </w:tr>
      <w:tr w:rsidR="00A063B8" w:rsidRPr="007C112B" w14:paraId="009315B1" w14:textId="77777777" w:rsidTr="00A063B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14:paraId="44EF9E98" w14:textId="77777777" w:rsidR="00A063B8" w:rsidRPr="001F58E0" w:rsidRDefault="00A063B8" w:rsidP="00A063B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F58E0">
              <w:rPr>
                <w:rFonts w:cstheme="minorHAnsi"/>
                <w:sz w:val="18"/>
                <w:szCs w:val="18"/>
              </w:rPr>
              <w:t>APN:</w:t>
            </w:r>
          </w:p>
          <w:p w14:paraId="37A40D34" w14:textId="77777777" w:rsidR="00A063B8" w:rsidRPr="001F58E0" w:rsidRDefault="00A063B8" w:rsidP="00A063B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F58E0">
              <w:rPr>
                <w:rFonts w:cstheme="minorHAnsi"/>
                <w:b w:val="0"/>
                <w:bCs w:val="0"/>
                <w:sz w:val="18"/>
                <w:szCs w:val="18"/>
              </w:rPr>
              <w:t>4139-002-022</w:t>
            </w:r>
          </w:p>
          <w:p w14:paraId="2B9B5185" w14:textId="77777777" w:rsidR="00A063B8" w:rsidRPr="001F58E0" w:rsidRDefault="00A063B8" w:rsidP="00A063B8">
            <w:pPr>
              <w:rPr>
                <w:rFonts w:cstheme="minorHAnsi"/>
                <w:sz w:val="18"/>
                <w:szCs w:val="18"/>
              </w:rPr>
            </w:pPr>
            <w:r w:rsidRPr="001F58E0">
              <w:rPr>
                <w:rFonts w:cstheme="minorHAnsi"/>
                <w:b w:val="0"/>
                <w:bCs w:val="0"/>
                <w:sz w:val="18"/>
                <w:szCs w:val="18"/>
              </w:rPr>
              <w:t>4139-002-025</w:t>
            </w:r>
          </w:p>
        </w:tc>
      </w:tr>
      <w:tr w:rsidR="00A063B8" w:rsidRPr="007C112B" w14:paraId="2151B47C" w14:textId="77777777" w:rsidTr="00A06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14:paraId="25B3C786" w14:textId="77777777" w:rsidR="00A063B8" w:rsidRPr="004970EA" w:rsidRDefault="00A063B8" w:rsidP="00A063B8">
            <w:pPr>
              <w:rPr>
                <w:rFonts w:cstheme="minorHAnsi"/>
                <w:sz w:val="20"/>
                <w:szCs w:val="20"/>
              </w:rPr>
            </w:pPr>
            <w:r w:rsidRPr="004970EA">
              <w:rPr>
                <w:rFonts w:cstheme="minorHAnsi"/>
                <w:sz w:val="20"/>
                <w:szCs w:val="20"/>
              </w:rPr>
              <w:t>Applicant/Contact:</w:t>
            </w:r>
          </w:p>
          <w:p w14:paraId="7CFA1733" w14:textId="77777777" w:rsidR="00A063B8" w:rsidRPr="007C112B" w:rsidRDefault="00A063B8" w:rsidP="00A063B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Mark Telesz</w:t>
            </w:r>
          </w:p>
          <w:p w14:paraId="2158FBB9" w14:textId="77777777" w:rsidR="00A063B8" w:rsidRPr="007C112B" w:rsidRDefault="00A063B8" w:rsidP="00A063B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Smoky Hollow Industries</w:t>
            </w:r>
          </w:p>
          <w:p w14:paraId="6DBDB18F" w14:textId="77777777" w:rsidR="00A063B8" w:rsidRPr="007C112B" w:rsidRDefault="00A063B8" w:rsidP="00A063B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37D1E">
              <w:rPr>
                <w:rFonts w:cstheme="minorHAnsi"/>
                <w:b w:val="0"/>
                <w:bCs w:val="0"/>
                <w:sz w:val="20"/>
                <w:szCs w:val="20"/>
              </w:rPr>
              <w:t>310-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616</w:t>
            </w:r>
            <w:r w:rsidRPr="00137D1E">
              <w:rPr>
                <w:rFonts w:cstheme="minorHAnsi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5040 x1</w:t>
            </w:r>
          </w:p>
        </w:tc>
      </w:tr>
      <w:tr w:rsidR="00A063B8" w:rsidRPr="007C112B" w14:paraId="23264D19" w14:textId="77777777" w:rsidTr="00A063B8">
        <w:trPr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14:paraId="5685C480" w14:textId="77777777" w:rsidR="00A063B8" w:rsidRPr="000C323E" w:rsidRDefault="00A063B8" w:rsidP="00A063B8">
            <w:pPr>
              <w:rPr>
                <w:rFonts w:cstheme="minorHAnsi"/>
                <w:sz w:val="20"/>
                <w:szCs w:val="20"/>
              </w:rPr>
            </w:pPr>
            <w:r w:rsidRPr="000C323E">
              <w:rPr>
                <w:rFonts w:cstheme="minorHAnsi"/>
                <w:sz w:val="20"/>
                <w:szCs w:val="20"/>
              </w:rPr>
              <w:t>Staff Contact:</w:t>
            </w:r>
          </w:p>
          <w:p w14:paraId="64D038F7" w14:textId="77777777" w:rsidR="00A063B8" w:rsidRPr="007C112B" w:rsidRDefault="00A063B8" w:rsidP="00A063B8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C323E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310-524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894752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2312</w:t>
            </w:r>
            <w:r w:rsidRPr="000C323E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br/>
            </w:r>
            <w:hyperlink r:id="rId11" w:history="1">
              <w:r w:rsidRPr="000C323E">
                <w:rPr>
                  <w:rFonts w:cstheme="minorHAnsi"/>
                  <w:b w:val="0"/>
                  <w:bCs w:val="0"/>
                  <w:sz w:val="20"/>
                  <w:szCs w:val="20"/>
                </w:rPr>
                <w:t>planning@elsegundo.org</w:t>
              </w:r>
            </w:hyperlink>
            <w:r w:rsidRPr="007C112B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</w:tbl>
    <w:p w14:paraId="52D2566D" w14:textId="0E1C7F6B" w:rsidR="003548C2" w:rsidRDefault="001F4AD7" w:rsidP="003548C2">
      <w:pPr>
        <w:spacing w:after="0" w:line="240" w:lineRule="auto"/>
        <w:rPr>
          <w:noProof/>
          <w:sz w:val="20"/>
        </w:rPr>
      </w:pPr>
      <w:r>
        <w:rPr>
          <w:rFonts w:cstheme="minorHAnsi"/>
          <w:b/>
          <w:bCs/>
          <w:sz w:val="36"/>
          <w:szCs w:val="36"/>
        </w:rPr>
        <w:t xml:space="preserve">Standard Works </w:t>
      </w:r>
      <w:r w:rsidR="00397556" w:rsidRPr="00DC2449">
        <w:rPr>
          <w:rFonts w:cstheme="minorHAnsi"/>
          <w:b/>
          <w:bCs/>
          <w:sz w:val="36"/>
          <w:szCs w:val="36"/>
        </w:rPr>
        <w:t>Project</w:t>
      </w:r>
      <w:r w:rsidR="005E1AA8" w:rsidRPr="00DC2449">
        <w:rPr>
          <w:rFonts w:cstheme="minorHAnsi"/>
          <w:b/>
          <w:bCs/>
          <w:sz w:val="36"/>
          <w:szCs w:val="36"/>
        </w:rPr>
        <w:t xml:space="preserve"> (EA-</w:t>
      </w:r>
      <w:r w:rsidR="002A6325">
        <w:rPr>
          <w:rFonts w:cstheme="minorHAnsi"/>
          <w:b/>
          <w:bCs/>
          <w:sz w:val="36"/>
          <w:szCs w:val="36"/>
        </w:rPr>
        <w:t xml:space="preserve">1281 &amp; </w:t>
      </w:r>
      <w:r w:rsidR="005E1AA8" w:rsidRPr="00DC2449">
        <w:rPr>
          <w:rFonts w:cstheme="minorHAnsi"/>
          <w:b/>
          <w:bCs/>
          <w:sz w:val="36"/>
          <w:szCs w:val="36"/>
        </w:rPr>
        <w:t>12</w:t>
      </w:r>
      <w:r>
        <w:rPr>
          <w:rFonts w:cstheme="minorHAnsi"/>
          <w:b/>
          <w:bCs/>
          <w:sz w:val="36"/>
          <w:szCs w:val="36"/>
        </w:rPr>
        <w:t>82</w:t>
      </w:r>
      <w:r w:rsidR="005E1AA8" w:rsidRPr="00DC2449">
        <w:rPr>
          <w:rFonts w:cstheme="minorHAnsi"/>
          <w:b/>
          <w:bCs/>
          <w:sz w:val="36"/>
          <w:szCs w:val="36"/>
        </w:rPr>
        <w:t>)</w:t>
      </w:r>
      <w:r w:rsidR="00F633AE" w:rsidRPr="00F633AE">
        <w:rPr>
          <w:noProof/>
          <w:sz w:val="20"/>
          <w:highlight w:val="yellow"/>
        </w:rPr>
        <w:t xml:space="preserve"> </w:t>
      </w:r>
    </w:p>
    <w:p w14:paraId="7650E929" w14:textId="2F0E2D42" w:rsidR="009C267D" w:rsidRPr="00DC2449" w:rsidRDefault="009C267D" w:rsidP="003548C2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9C267D"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0B4BD319" wp14:editId="714BD239">
            <wp:extent cx="4456210" cy="242036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210" cy="24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25686" w14:textId="24750079" w:rsidR="0018766C" w:rsidRPr="007C112B" w:rsidRDefault="003548C2" w:rsidP="00DD207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7C112B">
        <w:rPr>
          <w:rFonts w:cstheme="minorHAnsi"/>
          <w:sz w:val="20"/>
          <w:szCs w:val="20"/>
        </w:rPr>
        <w:t xml:space="preserve"> </w:t>
      </w:r>
    </w:p>
    <w:p w14:paraId="52D25694" w14:textId="6468D30A" w:rsidR="003548C2" w:rsidRPr="00A10BC3" w:rsidRDefault="0079357C" w:rsidP="003548C2">
      <w:pPr>
        <w:spacing w:after="0" w:line="240" w:lineRule="auto"/>
        <w:rPr>
          <w:rFonts w:cstheme="minorHAnsi"/>
          <w:color w:val="1F497D" w:themeColor="text2"/>
          <w:sz w:val="20"/>
          <w:szCs w:val="20"/>
        </w:rPr>
      </w:pPr>
      <w:r w:rsidRPr="0079000A">
        <w:rPr>
          <w:rFonts w:cstheme="minorHAnsi"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D256A0" wp14:editId="0E5240E2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5783283" cy="1403985"/>
                <wp:effectExtent l="0" t="0" r="825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2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56A6" w14:textId="77777777" w:rsidR="00AF1DA2" w:rsidRPr="000C323E" w:rsidRDefault="00AF1DA2" w:rsidP="00AF1D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0C323E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16"/>
                              </w:rPr>
                              <w:t>Project Description:</w:t>
                            </w:r>
                          </w:p>
                          <w:p w14:paraId="652E0CCB" w14:textId="27C1A671" w:rsidR="00DD2071" w:rsidRPr="00317506" w:rsidRDefault="00996307" w:rsidP="001C39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0C323E">
                              <w:rPr>
                                <w:sz w:val="20"/>
                              </w:rPr>
                              <w:t>The proposed Project is located on two adjacent sites within the SHSP area, in the Smoky Hollow</w:t>
                            </w:r>
                            <w:r w:rsidR="005456DE" w:rsidRPr="000C323E">
                              <w:rPr>
                                <w:sz w:val="20"/>
                              </w:rPr>
                              <w:t xml:space="preserve"> </w:t>
                            </w:r>
                            <w:r w:rsidRPr="00317506">
                              <w:rPr>
                                <w:sz w:val="20"/>
                              </w:rPr>
                              <w:t>East (SH-E) zoning district</w:t>
                            </w:r>
                            <w:r w:rsidR="00C60DA9" w:rsidRPr="00317506">
                              <w:rPr>
                                <w:sz w:val="20"/>
                              </w:rPr>
                              <w:t xml:space="preserve"> of the Smoky Hollow Specific Plan</w:t>
                            </w:r>
                            <w:r w:rsidR="00C16F40">
                              <w:rPr>
                                <w:sz w:val="20"/>
                              </w:rPr>
                              <w:t xml:space="preserve">. </w:t>
                            </w:r>
                            <w:r w:rsidR="00C60DA9" w:rsidRPr="0031750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76ABA83" w14:textId="7CFBD164" w:rsidR="00C16F40" w:rsidRDefault="00894752" w:rsidP="008947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</w:rPr>
                            </w:pPr>
                            <w:r w:rsidRPr="00894752">
                              <w:rPr>
                                <w:sz w:val="20"/>
                              </w:rPr>
                              <w:t>A Tier II Community Benefits Plan</w:t>
                            </w:r>
                            <w:r w:rsidR="00B5070F">
                              <w:rPr>
                                <w:sz w:val="20"/>
                              </w:rPr>
                              <w:t xml:space="preserve"> (CBP)</w:t>
                            </w:r>
                            <w:r w:rsidRPr="00894752">
                              <w:rPr>
                                <w:sz w:val="20"/>
                              </w:rPr>
                              <w:t xml:space="preserve"> to permit </w:t>
                            </w:r>
                            <w:r w:rsidR="000325FE">
                              <w:rPr>
                                <w:sz w:val="20"/>
                              </w:rPr>
                              <w:t>deviations</w:t>
                            </w:r>
                            <w:r w:rsidRPr="00894752">
                              <w:rPr>
                                <w:sz w:val="20"/>
                              </w:rPr>
                              <w:t xml:space="preserve"> to height and floor area ratio (FAR) standards, for proposed redevelopment of existing structures within the Smoky Hollow East zoning district of the Smoky Hollow Specific Plan (SHSP).  </w:t>
                            </w:r>
                          </w:p>
                          <w:p w14:paraId="0AB4F3B3" w14:textId="67735C46" w:rsidR="00894752" w:rsidRDefault="009D7D6B" w:rsidP="00B507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North Site (</w:t>
                            </w:r>
                            <w:r w:rsidR="00C16F40" w:rsidRPr="00A71594">
                              <w:rPr>
                                <w:sz w:val="20"/>
                                <w:u w:val="single"/>
                              </w:rPr>
                              <w:t>1320-1330 Franklin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)</w:t>
                            </w:r>
                            <w:r w:rsidR="00C16F40">
                              <w:rPr>
                                <w:sz w:val="20"/>
                              </w:rPr>
                              <w:t xml:space="preserve">: </w:t>
                            </w:r>
                            <w:r w:rsidR="00C16F40" w:rsidRPr="00C16F40">
                              <w:rPr>
                                <w:sz w:val="20"/>
                              </w:rPr>
                              <w:t xml:space="preserve">The project proposes </w:t>
                            </w:r>
                            <w:r w:rsidR="00065697" w:rsidRPr="00065697">
                              <w:rPr>
                                <w:sz w:val="20"/>
                              </w:rPr>
                              <w:t>45,568</w:t>
                            </w:r>
                            <w:r w:rsidR="00065697">
                              <w:rPr>
                                <w:sz w:val="20"/>
                              </w:rPr>
                              <w:t xml:space="preserve"> </w:t>
                            </w:r>
                            <w:r w:rsidR="00C16F40" w:rsidRPr="00C16F40">
                              <w:rPr>
                                <w:sz w:val="20"/>
                              </w:rPr>
                              <w:t xml:space="preserve">square feet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C16F40" w:rsidRPr="00C16F40">
                              <w:rPr>
                                <w:sz w:val="20"/>
                              </w:rPr>
                              <w:t>SF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 w:rsidR="00C16F40" w:rsidRPr="00C16F40">
                              <w:rPr>
                                <w:sz w:val="20"/>
                              </w:rPr>
                              <w:t xml:space="preserve"> addition to existing 19,</w:t>
                            </w:r>
                            <w:r>
                              <w:rPr>
                                <w:sz w:val="20"/>
                              </w:rPr>
                              <w:t>493</w:t>
                            </w:r>
                            <w:r w:rsidR="00C16F40" w:rsidRPr="00C16F40">
                              <w:rPr>
                                <w:sz w:val="20"/>
                              </w:rPr>
                              <w:t xml:space="preserve"> SF, </w:t>
                            </w:r>
                            <w:r w:rsidR="00C16F40" w:rsidRPr="00D31A25">
                              <w:rPr>
                                <w:sz w:val="20"/>
                              </w:rPr>
                              <w:t xml:space="preserve">for a total of </w:t>
                            </w:r>
                            <w:r w:rsidR="00D31A25" w:rsidRPr="00D31A25">
                              <w:rPr>
                                <w:sz w:val="20"/>
                              </w:rPr>
                              <w:t xml:space="preserve">65,061 </w:t>
                            </w:r>
                            <w:r w:rsidR="00C16F40" w:rsidRPr="00D31A25">
                              <w:rPr>
                                <w:sz w:val="20"/>
                              </w:rPr>
                              <w:t>SF</w:t>
                            </w:r>
                            <w:r w:rsidR="00C16F40" w:rsidRPr="00C16F40">
                              <w:rPr>
                                <w:sz w:val="20"/>
                              </w:rPr>
                              <w:t xml:space="preserve"> for office uses.  </w:t>
                            </w:r>
                            <w:r w:rsidR="00A71594" w:rsidRPr="00C16F40">
                              <w:rPr>
                                <w:sz w:val="20"/>
                              </w:rPr>
                              <w:t xml:space="preserve">Existing building structure will be preserved in place.  </w:t>
                            </w:r>
                            <w:r w:rsidR="00894752" w:rsidRPr="00B5070F">
                              <w:rPr>
                                <w:sz w:val="20"/>
                              </w:rPr>
                              <w:t>A</w:t>
                            </w:r>
                            <w:r w:rsidR="00C16F40" w:rsidRPr="00B5070F">
                              <w:rPr>
                                <w:sz w:val="20"/>
                              </w:rPr>
                              <w:t xml:space="preserve"> new</w:t>
                            </w:r>
                            <w:r w:rsidR="00894752" w:rsidRPr="00B5070F">
                              <w:rPr>
                                <w:sz w:val="20"/>
                              </w:rPr>
                              <w:t xml:space="preserve"> two-story</w:t>
                            </w:r>
                            <w:r w:rsidR="007430F7">
                              <w:rPr>
                                <w:sz w:val="20"/>
                              </w:rPr>
                              <w:t xml:space="preserve"> 766 SF</w:t>
                            </w:r>
                            <w:r w:rsidR="00894752" w:rsidRPr="00B5070F">
                              <w:rPr>
                                <w:sz w:val="20"/>
                              </w:rPr>
                              <w:t xml:space="preserve"> coffee kiosk building is proposed on the project site.  </w:t>
                            </w:r>
                          </w:p>
                          <w:p w14:paraId="26025C31" w14:textId="41D6D9AB" w:rsidR="009D7D6B" w:rsidRDefault="009D7D6B" w:rsidP="009D7D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South Site (</w:t>
                            </w:r>
                            <w:r w:rsidRPr="00A71594">
                              <w:rPr>
                                <w:sz w:val="20"/>
                                <w:u w:val="single"/>
                              </w:rPr>
                              <w:t>1475 El Segundo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 w:rsidRPr="00C16F40">
                              <w:rPr>
                                <w:sz w:val="20"/>
                              </w:rPr>
                              <w:t xml:space="preserve">The project proposes </w:t>
                            </w:r>
                            <w:r w:rsidR="00DE3574" w:rsidRPr="00DE3574">
                              <w:rPr>
                                <w:sz w:val="20"/>
                              </w:rPr>
                              <w:t>44,604</w:t>
                            </w:r>
                            <w:r w:rsidR="00DE3574">
                              <w:rPr>
                                <w:sz w:val="20"/>
                              </w:rPr>
                              <w:t xml:space="preserve"> </w:t>
                            </w:r>
                            <w:r w:rsidRPr="00C16F40">
                              <w:rPr>
                                <w:sz w:val="20"/>
                              </w:rPr>
                              <w:t xml:space="preserve">SF in addition to existing </w:t>
                            </w:r>
                            <w:r>
                              <w:rPr>
                                <w:sz w:val="20"/>
                              </w:rPr>
                              <w:t>19,311</w:t>
                            </w:r>
                            <w:r w:rsidRPr="00C16F40">
                              <w:rPr>
                                <w:sz w:val="20"/>
                              </w:rPr>
                              <w:t xml:space="preserve"> SF, for a total of</w:t>
                            </w:r>
                            <w:r w:rsidR="00EC3F13">
                              <w:rPr>
                                <w:sz w:val="20"/>
                              </w:rPr>
                              <w:t xml:space="preserve"> </w:t>
                            </w:r>
                            <w:r w:rsidR="00EC3F13" w:rsidRPr="00EC3F13">
                              <w:rPr>
                                <w:sz w:val="20"/>
                              </w:rPr>
                              <w:t>63,915</w:t>
                            </w:r>
                            <w:r w:rsidRPr="00C16F40">
                              <w:rPr>
                                <w:sz w:val="20"/>
                              </w:rPr>
                              <w:t xml:space="preserve"> SF for office uses.  Existing building structure will be preserved in place.  </w:t>
                            </w:r>
                          </w:p>
                          <w:p w14:paraId="6ACF081C" w14:textId="4FF06B6A" w:rsidR="00D224C0" w:rsidRPr="0079357C" w:rsidRDefault="00D224C0" w:rsidP="007935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 Specific Plan Amendment to modify the Tier II Community Benefit </w:t>
                            </w:r>
                            <w:r w:rsidR="007C22DF">
                              <w:rPr>
                                <w:sz w:val="20"/>
                              </w:rPr>
                              <w:t xml:space="preserve">Plan </w:t>
                            </w:r>
                            <w:r w:rsidR="00AE1CF5">
                              <w:rPr>
                                <w:sz w:val="20"/>
                              </w:rPr>
                              <w:t xml:space="preserve">process </w:t>
                            </w:r>
                            <w:r w:rsidR="008F516A">
                              <w:rPr>
                                <w:sz w:val="20"/>
                              </w:rPr>
                              <w:t xml:space="preserve">in a </w:t>
                            </w:r>
                            <w:r w:rsidR="002D11B4">
                              <w:rPr>
                                <w:sz w:val="20"/>
                              </w:rPr>
                              <w:t xml:space="preserve">Specific Plan </w:t>
                            </w:r>
                            <w:r w:rsidR="008F516A">
                              <w:rPr>
                                <w:sz w:val="20"/>
                              </w:rPr>
                              <w:t xml:space="preserve">subarea </w:t>
                            </w:r>
                            <w:r w:rsidR="00AE1CF5">
                              <w:rPr>
                                <w:sz w:val="20"/>
                              </w:rPr>
                              <w:t xml:space="preserve">to allow for a </w:t>
                            </w:r>
                            <w:r w:rsidR="00187DB1">
                              <w:rPr>
                                <w:sz w:val="20"/>
                              </w:rPr>
                              <w:t xml:space="preserve">maximum </w:t>
                            </w:r>
                            <w:r w:rsidR="00AE1CF5">
                              <w:rPr>
                                <w:sz w:val="20"/>
                              </w:rPr>
                              <w:t>height</w:t>
                            </w:r>
                            <w:r w:rsidR="00187DB1">
                              <w:rPr>
                                <w:sz w:val="20"/>
                              </w:rPr>
                              <w:t xml:space="preserve"> up to 60 feet.</w:t>
                            </w:r>
                            <w:r w:rsidR="00AE1CF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D25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pt;margin-top:1.7pt;width:455.4pt;height:110.55pt;z-index:251782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HBIAIAABw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" stroked="f">
                <v:textbox style="mso-fit-shape-to-text:t">
                  <w:txbxContent>
                    <w:p w14:paraId="52D256A6" w14:textId="77777777" w:rsidR="00AF1DA2" w:rsidRPr="000C323E" w:rsidRDefault="00AF1DA2" w:rsidP="00AF1DA2">
                      <w:pPr>
                        <w:spacing w:after="0" w:line="240" w:lineRule="auto"/>
                        <w:rPr>
                          <w:b/>
                          <w:bCs/>
                          <w:color w:val="1F497D" w:themeColor="text2"/>
                          <w:sz w:val="24"/>
                          <w:szCs w:val="16"/>
                        </w:rPr>
                      </w:pPr>
                      <w:r w:rsidRPr="000C323E">
                        <w:rPr>
                          <w:b/>
                          <w:bCs/>
                          <w:color w:val="1F497D" w:themeColor="text2"/>
                          <w:sz w:val="24"/>
                          <w:szCs w:val="16"/>
                        </w:rPr>
                        <w:t>Project Description:</w:t>
                      </w:r>
                    </w:p>
                    <w:p w14:paraId="652E0CCB" w14:textId="27C1A671" w:rsidR="00DD2071" w:rsidRPr="00317506" w:rsidRDefault="00996307" w:rsidP="001C39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0C323E">
                        <w:rPr>
                          <w:sz w:val="20"/>
                        </w:rPr>
                        <w:t>The proposed Project is located on two adjacent sites within the SHSP area, in the Smoky Hollow</w:t>
                      </w:r>
                      <w:r w:rsidR="005456DE" w:rsidRPr="000C323E">
                        <w:rPr>
                          <w:sz w:val="20"/>
                        </w:rPr>
                        <w:t xml:space="preserve"> </w:t>
                      </w:r>
                      <w:r w:rsidRPr="00317506">
                        <w:rPr>
                          <w:sz w:val="20"/>
                        </w:rPr>
                        <w:t>East (SH-E) zoning district</w:t>
                      </w:r>
                      <w:r w:rsidR="00C60DA9" w:rsidRPr="00317506">
                        <w:rPr>
                          <w:sz w:val="20"/>
                        </w:rPr>
                        <w:t xml:space="preserve"> of the Smoky Hollow Specific Plan</w:t>
                      </w:r>
                      <w:r w:rsidR="00C16F40">
                        <w:rPr>
                          <w:sz w:val="20"/>
                        </w:rPr>
                        <w:t xml:space="preserve">. </w:t>
                      </w:r>
                      <w:r w:rsidR="00C60DA9" w:rsidRPr="00317506">
                        <w:rPr>
                          <w:sz w:val="20"/>
                        </w:rPr>
                        <w:t xml:space="preserve"> </w:t>
                      </w:r>
                    </w:p>
                    <w:p w14:paraId="676ABA83" w14:textId="7CFBD164" w:rsidR="00C16F40" w:rsidRDefault="00894752" w:rsidP="008947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</w:rPr>
                      </w:pPr>
                      <w:r w:rsidRPr="00894752">
                        <w:rPr>
                          <w:sz w:val="20"/>
                        </w:rPr>
                        <w:t>A Tier II Community Benefits Plan</w:t>
                      </w:r>
                      <w:r w:rsidR="00B5070F">
                        <w:rPr>
                          <w:sz w:val="20"/>
                        </w:rPr>
                        <w:t xml:space="preserve"> (CBP)</w:t>
                      </w:r>
                      <w:r w:rsidRPr="00894752">
                        <w:rPr>
                          <w:sz w:val="20"/>
                        </w:rPr>
                        <w:t xml:space="preserve"> to permit </w:t>
                      </w:r>
                      <w:r w:rsidR="000325FE">
                        <w:rPr>
                          <w:sz w:val="20"/>
                        </w:rPr>
                        <w:t>deviations</w:t>
                      </w:r>
                      <w:r w:rsidRPr="00894752">
                        <w:rPr>
                          <w:sz w:val="20"/>
                        </w:rPr>
                        <w:t xml:space="preserve"> to height and floor area ratio (FAR) standards, for proposed redevelopment of existing structures within the Smoky Hollow East zoning district of the Smoky Hollow Specific Plan (SHSP).  </w:t>
                      </w:r>
                    </w:p>
                    <w:p w14:paraId="0AB4F3B3" w14:textId="67735C46" w:rsidR="00894752" w:rsidRDefault="009D7D6B" w:rsidP="00B507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North Site (</w:t>
                      </w:r>
                      <w:r w:rsidR="00C16F40" w:rsidRPr="00A71594">
                        <w:rPr>
                          <w:sz w:val="20"/>
                          <w:u w:val="single"/>
                        </w:rPr>
                        <w:t>1320-1330 Franklin</w:t>
                      </w:r>
                      <w:r>
                        <w:rPr>
                          <w:sz w:val="20"/>
                          <w:u w:val="single"/>
                        </w:rPr>
                        <w:t>)</w:t>
                      </w:r>
                      <w:r w:rsidR="00C16F40">
                        <w:rPr>
                          <w:sz w:val="20"/>
                        </w:rPr>
                        <w:t xml:space="preserve">: </w:t>
                      </w:r>
                      <w:r w:rsidR="00C16F40" w:rsidRPr="00C16F40">
                        <w:rPr>
                          <w:sz w:val="20"/>
                        </w:rPr>
                        <w:t xml:space="preserve">The project proposes </w:t>
                      </w:r>
                      <w:r w:rsidR="00065697" w:rsidRPr="00065697">
                        <w:rPr>
                          <w:sz w:val="20"/>
                        </w:rPr>
                        <w:t>45,568</w:t>
                      </w:r>
                      <w:r w:rsidR="00065697">
                        <w:rPr>
                          <w:sz w:val="20"/>
                        </w:rPr>
                        <w:t xml:space="preserve"> </w:t>
                      </w:r>
                      <w:r w:rsidR="00C16F40" w:rsidRPr="00C16F40">
                        <w:rPr>
                          <w:sz w:val="20"/>
                        </w:rPr>
                        <w:t xml:space="preserve">square feet </w:t>
                      </w:r>
                      <w:r>
                        <w:rPr>
                          <w:sz w:val="20"/>
                        </w:rPr>
                        <w:t>(</w:t>
                      </w:r>
                      <w:r w:rsidR="00C16F40" w:rsidRPr="00C16F40">
                        <w:rPr>
                          <w:sz w:val="20"/>
                        </w:rPr>
                        <w:t>SF</w:t>
                      </w:r>
                      <w:r>
                        <w:rPr>
                          <w:sz w:val="20"/>
                        </w:rPr>
                        <w:t>)</w:t>
                      </w:r>
                      <w:r w:rsidR="00C16F40" w:rsidRPr="00C16F40">
                        <w:rPr>
                          <w:sz w:val="20"/>
                        </w:rPr>
                        <w:t xml:space="preserve"> addition to existing 19,</w:t>
                      </w:r>
                      <w:r>
                        <w:rPr>
                          <w:sz w:val="20"/>
                        </w:rPr>
                        <w:t>493</w:t>
                      </w:r>
                      <w:r w:rsidR="00C16F40" w:rsidRPr="00C16F40">
                        <w:rPr>
                          <w:sz w:val="20"/>
                        </w:rPr>
                        <w:t xml:space="preserve"> SF, </w:t>
                      </w:r>
                      <w:r w:rsidR="00C16F40" w:rsidRPr="00D31A25">
                        <w:rPr>
                          <w:sz w:val="20"/>
                        </w:rPr>
                        <w:t xml:space="preserve">for a total of </w:t>
                      </w:r>
                      <w:r w:rsidR="00D31A25" w:rsidRPr="00D31A25">
                        <w:rPr>
                          <w:sz w:val="20"/>
                        </w:rPr>
                        <w:t xml:space="preserve">65,061 </w:t>
                      </w:r>
                      <w:r w:rsidR="00C16F40" w:rsidRPr="00D31A25">
                        <w:rPr>
                          <w:sz w:val="20"/>
                        </w:rPr>
                        <w:t>SF</w:t>
                      </w:r>
                      <w:r w:rsidR="00C16F40" w:rsidRPr="00C16F40">
                        <w:rPr>
                          <w:sz w:val="20"/>
                        </w:rPr>
                        <w:t xml:space="preserve"> for office uses.  </w:t>
                      </w:r>
                      <w:r w:rsidR="00A71594" w:rsidRPr="00C16F40">
                        <w:rPr>
                          <w:sz w:val="20"/>
                        </w:rPr>
                        <w:t xml:space="preserve">Existing building structure will be preserved in place.  </w:t>
                      </w:r>
                      <w:r w:rsidR="00894752" w:rsidRPr="00B5070F">
                        <w:rPr>
                          <w:sz w:val="20"/>
                        </w:rPr>
                        <w:t>A</w:t>
                      </w:r>
                      <w:r w:rsidR="00C16F40" w:rsidRPr="00B5070F">
                        <w:rPr>
                          <w:sz w:val="20"/>
                        </w:rPr>
                        <w:t xml:space="preserve"> new</w:t>
                      </w:r>
                      <w:r w:rsidR="00894752" w:rsidRPr="00B5070F">
                        <w:rPr>
                          <w:sz w:val="20"/>
                        </w:rPr>
                        <w:t xml:space="preserve"> two-story</w:t>
                      </w:r>
                      <w:r w:rsidR="007430F7">
                        <w:rPr>
                          <w:sz w:val="20"/>
                        </w:rPr>
                        <w:t xml:space="preserve"> 766 SF</w:t>
                      </w:r>
                      <w:r w:rsidR="00894752" w:rsidRPr="00B5070F">
                        <w:rPr>
                          <w:sz w:val="20"/>
                        </w:rPr>
                        <w:t xml:space="preserve"> coffee kiosk building is proposed on the project site.  </w:t>
                      </w:r>
                    </w:p>
                    <w:p w14:paraId="26025C31" w14:textId="41D6D9AB" w:rsidR="009D7D6B" w:rsidRDefault="009D7D6B" w:rsidP="009D7D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South Site (</w:t>
                      </w:r>
                      <w:r w:rsidRPr="00A71594">
                        <w:rPr>
                          <w:sz w:val="20"/>
                          <w:u w:val="single"/>
                        </w:rPr>
                        <w:t>1475 El Segundo</w:t>
                      </w:r>
                      <w:r>
                        <w:rPr>
                          <w:sz w:val="20"/>
                          <w:u w:val="single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 w:rsidRPr="00C16F40">
                        <w:rPr>
                          <w:sz w:val="20"/>
                        </w:rPr>
                        <w:t xml:space="preserve">The project proposes </w:t>
                      </w:r>
                      <w:r w:rsidR="00DE3574" w:rsidRPr="00DE3574">
                        <w:rPr>
                          <w:sz w:val="20"/>
                        </w:rPr>
                        <w:t>44,604</w:t>
                      </w:r>
                      <w:r w:rsidR="00DE3574">
                        <w:rPr>
                          <w:sz w:val="20"/>
                        </w:rPr>
                        <w:t xml:space="preserve"> </w:t>
                      </w:r>
                      <w:r w:rsidRPr="00C16F40">
                        <w:rPr>
                          <w:sz w:val="20"/>
                        </w:rPr>
                        <w:t xml:space="preserve">SF in addition to existing </w:t>
                      </w:r>
                      <w:r>
                        <w:rPr>
                          <w:sz w:val="20"/>
                        </w:rPr>
                        <w:t>19,311</w:t>
                      </w:r>
                      <w:r w:rsidRPr="00C16F40">
                        <w:rPr>
                          <w:sz w:val="20"/>
                        </w:rPr>
                        <w:t xml:space="preserve"> SF, for a total of</w:t>
                      </w:r>
                      <w:r w:rsidR="00EC3F13">
                        <w:rPr>
                          <w:sz w:val="20"/>
                        </w:rPr>
                        <w:t xml:space="preserve"> </w:t>
                      </w:r>
                      <w:r w:rsidR="00EC3F13" w:rsidRPr="00EC3F13">
                        <w:rPr>
                          <w:sz w:val="20"/>
                        </w:rPr>
                        <w:t>63,915</w:t>
                      </w:r>
                      <w:r w:rsidRPr="00C16F40">
                        <w:rPr>
                          <w:sz w:val="20"/>
                        </w:rPr>
                        <w:t xml:space="preserve"> SF for office uses.  Existing building structure will be preserved in place.  </w:t>
                      </w:r>
                    </w:p>
                    <w:p w14:paraId="6ACF081C" w14:textId="4FF06B6A" w:rsidR="00D224C0" w:rsidRPr="0079357C" w:rsidRDefault="00D224C0" w:rsidP="007935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940"/>
                        </w:tabs>
                        <w:spacing w:after="0" w:line="240" w:lineRule="auto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 Specific Plan Amendment to modify the Tier II Community Benefit </w:t>
                      </w:r>
                      <w:r w:rsidR="007C22DF">
                        <w:rPr>
                          <w:sz w:val="20"/>
                        </w:rPr>
                        <w:t xml:space="preserve">Plan </w:t>
                      </w:r>
                      <w:r w:rsidR="00AE1CF5">
                        <w:rPr>
                          <w:sz w:val="20"/>
                        </w:rPr>
                        <w:t xml:space="preserve">process </w:t>
                      </w:r>
                      <w:r w:rsidR="008F516A">
                        <w:rPr>
                          <w:sz w:val="20"/>
                        </w:rPr>
                        <w:t xml:space="preserve">in a </w:t>
                      </w:r>
                      <w:r w:rsidR="002D11B4">
                        <w:rPr>
                          <w:sz w:val="20"/>
                        </w:rPr>
                        <w:t xml:space="preserve">Specific Plan </w:t>
                      </w:r>
                      <w:r w:rsidR="008F516A">
                        <w:rPr>
                          <w:sz w:val="20"/>
                        </w:rPr>
                        <w:t xml:space="preserve">subarea </w:t>
                      </w:r>
                      <w:r w:rsidR="00AE1CF5">
                        <w:rPr>
                          <w:sz w:val="20"/>
                        </w:rPr>
                        <w:t xml:space="preserve">to allow for a </w:t>
                      </w:r>
                      <w:r w:rsidR="00187DB1">
                        <w:rPr>
                          <w:sz w:val="20"/>
                        </w:rPr>
                        <w:t xml:space="preserve">maximum </w:t>
                      </w:r>
                      <w:r w:rsidR="00AE1CF5">
                        <w:rPr>
                          <w:sz w:val="20"/>
                        </w:rPr>
                        <w:t>height</w:t>
                      </w:r>
                      <w:r w:rsidR="00187DB1">
                        <w:rPr>
                          <w:sz w:val="20"/>
                        </w:rPr>
                        <w:t xml:space="preserve"> up to 60 feet.</w:t>
                      </w:r>
                      <w:r w:rsidR="00AE1CF5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8C2" w:rsidRPr="00A10BC3">
        <w:rPr>
          <w:rFonts w:cstheme="minorHAnsi"/>
          <w:color w:val="1F497D" w:themeColor="text2"/>
          <w:sz w:val="20"/>
          <w:szCs w:val="20"/>
        </w:rPr>
        <w:t>Project Update:</w:t>
      </w:r>
    </w:p>
    <w:p w14:paraId="52D25695" w14:textId="7CA75AB9" w:rsidR="00306B04" w:rsidRPr="00A10BC3" w:rsidRDefault="00306B04" w:rsidP="00306B04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A10BC3">
        <w:rPr>
          <w:rFonts w:cstheme="minorHAnsi"/>
          <w:sz w:val="20"/>
          <w:szCs w:val="20"/>
        </w:rPr>
        <w:t xml:space="preserve">The application was submitted on </w:t>
      </w:r>
      <w:r w:rsidR="00894752">
        <w:rPr>
          <w:rFonts w:cstheme="minorHAnsi"/>
          <w:sz w:val="20"/>
          <w:szCs w:val="20"/>
        </w:rPr>
        <w:t>January 31, 2020</w:t>
      </w:r>
      <w:r w:rsidRPr="00A10BC3">
        <w:rPr>
          <w:rFonts w:cstheme="minorHAnsi"/>
          <w:sz w:val="20"/>
          <w:szCs w:val="20"/>
        </w:rPr>
        <w:t xml:space="preserve">  </w:t>
      </w:r>
    </w:p>
    <w:p w14:paraId="7734155E" w14:textId="0FD5B323" w:rsidR="00CC0CD5" w:rsidRPr="00A10BC3" w:rsidRDefault="00CC0CD5" w:rsidP="00306B04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A10BC3">
        <w:rPr>
          <w:rFonts w:cstheme="minorHAnsi"/>
          <w:sz w:val="20"/>
          <w:szCs w:val="20"/>
        </w:rPr>
        <w:t>Status: Project Review</w:t>
      </w:r>
      <w:r w:rsidR="009344AB" w:rsidRPr="00A10BC3">
        <w:rPr>
          <w:rFonts w:cstheme="minorHAnsi"/>
          <w:sz w:val="20"/>
          <w:szCs w:val="20"/>
        </w:rPr>
        <w:t>/Entitlements Pending</w:t>
      </w:r>
    </w:p>
    <w:p w14:paraId="6C1C8B71" w14:textId="3927F80E" w:rsidR="0079357C" w:rsidRDefault="00C1582E" w:rsidP="0079357C">
      <w:pPr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A10BC3">
        <w:rPr>
          <w:rFonts w:cstheme="minorHAnsi"/>
          <w:sz w:val="20"/>
          <w:szCs w:val="20"/>
        </w:rPr>
        <w:t>Public Hearing</w:t>
      </w:r>
      <w:r w:rsidR="00DB0000" w:rsidRPr="00A10BC3">
        <w:rPr>
          <w:rFonts w:cstheme="minorHAnsi"/>
          <w:sz w:val="20"/>
          <w:szCs w:val="20"/>
        </w:rPr>
        <w:t>s</w:t>
      </w:r>
      <w:r w:rsidRPr="00A10BC3">
        <w:rPr>
          <w:rFonts w:cstheme="minorHAnsi"/>
          <w:sz w:val="20"/>
          <w:szCs w:val="20"/>
        </w:rPr>
        <w:t xml:space="preserve">: </w:t>
      </w:r>
      <w:r w:rsidR="00A45FBD" w:rsidRPr="0079357C">
        <w:rPr>
          <w:rFonts w:cstheme="minorHAnsi"/>
          <w:sz w:val="20"/>
          <w:szCs w:val="20"/>
        </w:rPr>
        <w:t>Planning Commission</w:t>
      </w:r>
      <w:r w:rsidR="00894752" w:rsidRPr="0079357C">
        <w:rPr>
          <w:rFonts w:cstheme="minorHAnsi"/>
          <w:sz w:val="20"/>
          <w:szCs w:val="20"/>
        </w:rPr>
        <w:t>/</w:t>
      </w:r>
      <w:r w:rsidR="00364724">
        <w:rPr>
          <w:rFonts w:cstheme="minorHAnsi"/>
          <w:sz w:val="20"/>
          <w:szCs w:val="20"/>
        </w:rPr>
        <w:t>Council</w:t>
      </w:r>
    </w:p>
    <w:p w14:paraId="52D25696" w14:textId="67F641A9" w:rsidR="00306B04" w:rsidRPr="0079357C" w:rsidRDefault="0079000A" w:rsidP="0079357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79357C">
        <w:rPr>
          <w:rFonts w:cstheme="minorHAnsi"/>
          <w:sz w:val="20"/>
          <w:szCs w:val="20"/>
        </w:rPr>
        <w:t>Council</w:t>
      </w:r>
      <w:r w:rsidR="00364E79" w:rsidRPr="0079357C">
        <w:rPr>
          <w:rFonts w:cstheme="minorHAnsi"/>
          <w:sz w:val="20"/>
          <w:szCs w:val="20"/>
        </w:rPr>
        <w:t xml:space="preserve">: </w:t>
      </w:r>
      <w:r w:rsidR="00894752" w:rsidRPr="0079357C">
        <w:rPr>
          <w:rFonts w:cstheme="minorHAnsi"/>
          <w:sz w:val="20"/>
          <w:szCs w:val="20"/>
        </w:rPr>
        <w:t>TBD</w:t>
      </w:r>
      <w:r w:rsidR="0079357C">
        <w:rPr>
          <w:rFonts w:cstheme="minorHAnsi"/>
          <w:sz w:val="20"/>
          <w:szCs w:val="20"/>
        </w:rPr>
        <w:t xml:space="preserve"> Fall 2021</w:t>
      </w:r>
    </w:p>
    <w:p w14:paraId="4E65418A" w14:textId="406A6B69" w:rsidR="007C112B" w:rsidRPr="003B679B" w:rsidRDefault="007C112B" w:rsidP="00DB0000">
      <w:pPr>
        <w:spacing w:after="0" w:line="240" w:lineRule="auto"/>
        <w:ind w:left="720"/>
        <w:rPr>
          <w:rFonts w:cstheme="minorHAnsi"/>
          <w:sz w:val="20"/>
          <w:szCs w:val="20"/>
          <w:highlight w:val="yellow"/>
        </w:rPr>
      </w:pPr>
    </w:p>
    <w:p w14:paraId="52D25698" w14:textId="0D304F7A" w:rsidR="003548C2" w:rsidRPr="0079000A" w:rsidRDefault="003548C2" w:rsidP="003548C2">
      <w:pPr>
        <w:spacing w:after="0" w:line="240" w:lineRule="auto"/>
        <w:rPr>
          <w:rFonts w:cstheme="minorHAnsi"/>
          <w:color w:val="1F497D" w:themeColor="text2"/>
          <w:sz w:val="20"/>
          <w:szCs w:val="20"/>
        </w:rPr>
      </w:pPr>
      <w:r w:rsidRPr="0079000A">
        <w:rPr>
          <w:rFonts w:cstheme="minorHAnsi"/>
          <w:color w:val="1F497D" w:themeColor="text2"/>
          <w:sz w:val="20"/>
          <w:szCs w:val="20"/>
        </w:rPr>
        <w:t>Related Documents:</w:t>
      </w:r>
    </w:p>
    <w:p w14:paraId="023337A9" w14:textId="0C450124" w:rsidR="005456DE" w:rsidRPr="0079000A" w:rsidRDefault="007C22DF" w:rsidP="005456DE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hyperlink r:id="rId13" w:history="1">
        <w:r w:rsidR="002E50A3" w:rsidRPr="0079000A">
          <w:rPr>
            <w:rStyle w:val="Hyperlink"/>
            <w:rFonts w:cstheme="minorHAnsi"/>
            <w:sz w:val="20"/>
            <w:szCs w:val="20"/>
          </w:rPr>
          <w:t>Development Plans</w:t>
        </w:r>
      </w:hyperlink>
      <w:r w:rsidR="002E50A3" w:rsidRPr="0079000A">
        <w:rPr>
          <w:rFonts w:cstheme="minorHAnsi"/>
          <w:sz w:val="20"/>
          <w:szCs w:val="20"/>
        </w:rPr>
        <w:t xml:space="preserve"> </w:t>
      </w:r>
    </w:p>
    <w:p w14:paraId="3E3DD121" w14:textId="00F1FA5C" w:rsidR="009344AB" w:rsidRPr="0079000A" w:rsidRDefault="009344AB" w:rsidP="009344AB">
      <w:pPr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9000A">
        <w:rPr>
          <w:rFonts w:cstheme="minorHAnsi"/>
          <w:sz w:val="20"/>
          <w:szCs w:val="20"/>
        </w:rPr>
        <w:t xml:space="preserve">Click </w:t>
      </w:r>
      <w:hyperlink r:id="rId14" w:history="1">
        <w:r w:rsidRPr="0079000A">
          <w:rPr>
            <w:rStyle w:val="Hyperlink"/>
            <w:rFonts w:cstheme="minorHAnsi"/>
            <w:sz w:val="20"/>
            <w:szCs w:val="20"/>
          </w:rPr>
          <w:t>here</w:t>
        </w:r>
      </w:hyperlink>
      <w:r w:rsidRPr="0079000A">
        <w:rPr>
          <w:rFonts w:cstheme="minorHAnsi"/>
          <w:sz w:val="20"/>
          <w:szCs w:val="20"/>
        </w:rPr>
        <w:t xml:space="preserve"> to access copy of  </w:t>
      </w:r>
    </w:p>
    <w:p w14:paraId="48EBFAF9" w14:textId="334200BC" w:rsidR="009344AB" w:rsidRPr="001F4AD7" w:rsidRDefault="000E3854" w:rsidP="00C17847">
      <w:pPr>
        <w:numPr>
          <w:ilvl w:val="1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1F4AD7">
        <w:rPr>
          <w:rFonts w:cstheme="minorHAnsi"/>
          <w:sz w:val="20"/>
          <w:szCs w:val="20"/>
        </w:rPr>
        <w:t>Smoky Hollow Specific Plan</w:t>
      </w:r>
      <w:r w:rsidR="009344AB" w:rsidRPr="001F4AD7">
        <w:rPr>
          <w:rFonts w:cstheme="minorHAnsi"/>
          <w:sz w:val="20"/>
          <w:szCs w:val="20"/>
        </w:rPr>
        <w:t xml:space="preserve"> adopted 2018</w:t>
      </w:r>
    </w:p>
    <w:p w14:paraId="52D2569D" w14:textId="0E147B4B" w:rsidR="00297516" w:rsidRDefault="009344AB" w:rsidP="009C267D">
      <w:pPr>
        <w:numPr>
          <w:ilvl w:val="1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1F4AD7">
        <w:rPr>
          <w:rFonts w:cstheme="minorHAnsi"/>
          <w:sz w:val="20"/>
          <w:szCs w:val="20"/>
        </w:rPr>
        <w:t xml:space="preserve">Specific Plan EIR certified in 2018 </w:t>
      </w:r>
      <w:r w:rsidRPr="001F4AD7">
        <w:rPr>
          <w:rStyle w:val="Hyperlink"/>
          <w:rFonts w:cstheme="minorHAnsi"/>
          <w:sz w:val="20"/>
          <w:szCs w:val="20"/>
        </w:rPr>
        <w:t xml:space="preserve"> </w:t>
      </w:r>
      <w:r w:rsidR="00FE6243" w:rsidRPr="001F4AD7">
        <w:rPr>
          <w:rFonts w:cstheme="minorHAnsi"/>
          <w:sz w:val="20"/>
          <w:szCs w:val="20"/>
        </w:rPr>
        <w:t xml:space="preserve"> </w:t>
      </w:r>
    </w:p>
    <w:p w14:paraId="42CAB71A" w14:textId="3B7F563E" w:rsidR="00A71594" w:rsidRPr="009C267D" w:rsidRDefault="00A71594" w:rsidP="00A71594">
      <w:pPr>
        <w:spacing w:after="0" w:line="240" w:lineRule="auto"/>
        <w:rPr>
          <w:rFonts w:cstheme="minorHAnsi"/>
          <w:sz w:val="20"/>
          <w:szCs w:val="20"/>
        </w:rPr>
      </w:pPr>
    </w:p>
    <w:sectPr w:rsidR="00A71594" w:rsidRPr="009C267D" w:rsidSect="00735C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D14B" w14:textId="77777777" w:rsidR="00357588" w:rsidRDefault="00357588" w:rsidP="0018766C">
      <w:pPr>
        <w:spacing w:after="0" w:line="240" w:lineRule="auto"/>
      </w:pPr>
      <w:r>
        <w:separator/>
      </w:r>
    </w:p>
  </w:endnote>
  <w:endnote w:type="continuationSeparator" w:id="0">
    <w:p w14:paraId="1E163CB7" w14:textId="77777777" w:rsidR="00357588" w:rsidRDefault="00357588" w:rsidP="0018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D69F" w14:textId="77777777" w:rsidR="00357588" w:rsidRDefault="00357588" w:rsidP="0018766C">
      <w:pPr>
        <w:spacing w:after="0" w:line="240" w:lineRule="auto"/>
      </w:pPr>
      <w:r>
        <w:separator/>
      </w:r>
    </w:p>
  </w:footnote>
  <w:footnote w:type="continuationSeparator" w:id="0">
    <w:p w14:paraId="4AEC25FC" w14:textId="77777777" w:rsidR="00357588" w:rsidRDefault="00357588" w:rsidP="0018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B88"/>
    <w:multiLevelType w:val="hybridMultilevel"/>
    <w:tmpl w:val="D7E4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443"/>
    <w:multiLevelType w:val="hybridMultilevel"/>
    <w:tmpl w:val="7864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11447"/>
    <w:multiLevelType w:val="multilevel"/>
    <w:tmpl w:val="346C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599"/>
    <w:multiLevelType w:val="hybridMultilevel"/>
    <w:tmpl w:val="3F08863E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27F76B5A"/>
    <w:multiLevelType w:val="hybridMultilevel"/>
    <w:tmpl w:val="793E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43E0"/>
    <w:multiLevelType w:val="hybridMultilevel"/>
    <w:tmpl w:val="51AC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87299"/>
    <w:multiLevelType w:val="hybridMultilevel"/>
    <w:tmpl w:val="44B6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3321C"/>
    <w:multiLevelType w:val="hybridMultilevel"/>
    <w:tmpl w:val="3EBC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02F80"/>
    <w:multiLevelType w:val="hybridMultilevel"/>
    <w:tmpl w:val="F59A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871"/>
    <w:multiLevelType w:val="multilevel"/>
    <w:tmpl w:val="2F1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05456"/>
    <w:multiLevelType w:val="hybridMultilevel"/>
    <w:tmpl w:val="39E6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1DFE"/>
    <w:multiLevelType w:val="hybridMultilevel"/>
    <w:tmpl w:val="950E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56C78"/>
    <w:multiLevelType w:val="hybridMultilevel"/>
    <w:tmpl w:val="EE1672B8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51015D9B"/>
    <w:multiLevelType w:val="hybridMultilevel"/>
    <w:tmpl w:val="BE26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C4007"/>
    <w:multiLevelType w:val="hybridMultilevel"/>
    <w:tmpl w:val="00A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2C25"/>
    <w:multiLevelType w:val="hybridMultilevel"/>
    <w:tmpl w:val="A4F0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81EF3"/>
    <w:multiLevelType w:val="hybridMultilevel"/>
    <w:tmpl w:val="FF3E81C6"/>
    <w:lvl w:ilvl="0" w:tplc="040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5E814422"/>
    <w:multiLevelType w:val="hybridMultilevel"/>
    <w:tmpl w:val="1586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A4C7D"/>
    <w:multiLevelType w:val="hybridMultilevel"/>
    <w:tmpl w:val="5C46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B1ADF"/>
    <w:multiLevelType w:val="hybridMultilevel"/>
    <w:tmpl w:val="31A0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D1AEB"/>
    <w:multiLevelType w:val="hybridMultilevel"/>
    <w:tmpl w:val="A20E6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9"/>
  </w:num>
  <w:num w:numId="6">
    <w:abstractNumId w:val="17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6"/>
  </w:num>
  <w:num w:numId="12">
    <w:abstractNumId w:val="7"/>
  </w:num>
  <w:num w:numId="13">
    <w:abstractNumId w:val="20"/>
  </w:num>
  <w:num w:numId="14">
    <w:abstractNumId w:val="19"/>
  </w:num>
  <w:num w:numId="15">
    <w:abstractNumId w:val="2"/>
  </w:num>
  <w:num w:numId="16">
    <w:abstractNumId w:val="18"/>
  </w:num>
  <w:num w:numId="17">
    <w:abstractNumId w:val="10"/>
  </w:num>
  <w:num w:numId="18">
    <w:abstractNumId w:val="11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FD"/>
    <w:rsid w:val="00003D59"/>
    <w:rsid w:val="00015D09"/>
    <w:rsid w:val="000325FE"/>
    <w:rsid w:val="00035DC2"/>
    <w:rsid w:val="00043DDA"/>
    <w:rsid w:val="00046F8C"/>
    <w:rsid w:val="00063E6E"/>
    <w:rsid w:val="00065622"/>
    <w:rsid w:val="00065697"/>
    <w:rsid w:val="000672B4"/>
    <w:rsid w:val="00091C7B"/>
    <w:rsid w:val="000A1DBB"/>
    <w:rsid w:val="000A60F5"/>
    <w:rsid w:val="000C0F69"/>
    <w:rsid w:val="000C323E"/>
    <w:rsid w:val="000C6242"/>
    <w:rsid w:val="000C694E"/>
    <w:rsid w:val="000E0FEB"/>
    <w:rsid w:val="000E10A9"/>
    <w:rsid w:val="000E3854"/>
    <w:rsid w:val="000E767D"/>
    <w:rsid w:val="000F3CCA"/>
    <w:rsid w:val="001033E1"/>
    <w:rsid w:val="00110194"/>
    <w:rsid w:val="00116085"/>
    <w:rsid w:val="001231FE"/>
    <w:rsid w:val="00137D1E"/>
    <w:rsid w:val="00143AE1"/>
    <w:rsid w:val="001525F2"/>
    <w:rsid w:val="00163382"/>
    <w:rsid w:val="001661FD"/>
    <w:rsid w:val="0018766C"/>
    <w:rsid w:val="00187DB1"/>
    <w:rsid w:val="00191BD7"/>
    <w:rsid w:val="00197DF8"/>
    <w:rsid w:val="001A0930"/>
    <w:rsid w:val="001D255C"/>
    <w:rsid w:val="001F4AD7"/>
    <w:rsid w:val="001F58E0"/>
    <w:rsid w:val="00204392"/>
    <w:rsid w:val="00206652"/>
    <w:rsid w:val="00222342"/>
    <w:rsid w:val="00231C53"/>
    <w:rsid w:val="00253501"/>
    <w:rsid w:val="00255780"/>
    <w:rsid w:val="00270E9E"/>
    <w:rsid w:val="00271105"/>
    <w:rsid w:val="00276C18"/>
    <w:rsid w:val="0027769F"/>
    <w:rsid w:val="00295D6B"/>
    <w:rsid w:val="00297516"/>
    <w:rsid w:val="002A5F20"/>
    <w:rsid w:val="002A6325"/>
    <w:rsid w:val="002B26F4"/>
    <w:rsid w:val="002B7061"/>
    <w:rsid w:val="002C0105"/>
    <w:rsid w:val="002C5B5D"/>
    <w:rsid w:val="002D11B4"/>
    <w:rsid w:val="002E50A3"/>
    <w:rsid w:val="00303F09"/>
    <w:rsid w:val="00306B04"/>
    <w:rsid w:val="00307031"/>
    <w:rsid w:val="00307532"/>
    <w:rsid w:val="00315961"/>
    <w:rsid w:val="00317506"/>
    <w:rsid w:val="00317E92"/>
    <w:rsid w:val="00332A7F"/>
    <w:rsid w:val="00333BC5"/>
    <w:rsid w:val="0035100E"/>
    <w:rsid w:val="003548C2"/>
    <w:rsid w:val="00357588"/>
    <w:rsid w:val="00364724"/>
    <w:rsid w:val="00364E79"/>
    <w:rsid w:val="00395EEF"/>
    <w:rsid w:val="003966F9"/>
    <w:rsid w:val="00397556"/>
    <w:rsid w:val="003B50D0"/>
    <w:rsid w:val="003B679B"/>
    <w:rsid w:val="003B6F99"/>
    <w:rsid w:val="003C0260"/>
    <w:rsid w:val="003E526A"/>
    <w:rsid w:val="00412EE0"/>
    <w:rsid w:val="00424440"/>
    <w:rsid w:val="004269C0"/>
    <w:rsid w:val="004275A2"/>
    <w:rsid w:val="004307C5"/>
    <w:rsid w:val="00434EE7"/>
    <w:rsid w:val="0046090E"/>
    <w:rsid w:val="00474C3C"/>
    <w:rsid w:val="0048183D"/>
    <w:rsid w:val="00486160"/>
    <w:rsid w:val="0048658F"/>
    <w:rsid w:val="00490A58"/>
    <w:rsid w:val="004968E2"/>
    <w:rsid w:val="004970EA"/>
    <w:rsid w:val="004D1C53"/>
    <w:rsid w:val="004E4699"/>
    <w:rsid w:val="00532C09"/>
    <w:rsid w:val="0053577C"/>
    <w:rsid w:val="005456DE"/>
    <w:rsid w:val="00562F15"/>
    <w:rsid w:val="00563907"/>
    <w:rsid w:val="00564F6E"/>
    <w:rsid w:val="00597ACC"/>
    <w:rsid w:val="005A1FEF"/>
    <w:rsid w:val="005C2225"/>
    <w:rsid w:val="005E1AA8"/>
    <w:rsid w:val="005E5A50"/>
    <w:rsid w:val="005F0659"/>
    <w:rsid w:val="00600DBF"/>
    <w:rsid w:val="00601FF5"/>
    <w:rsid w:val="00645DA7"/>
    <w:rsid w:val="00652220"/>
    <w:rsid w:val="006657B0"/>
    <w:rsid w:val="00666CB8"/>
    <w:rsid w:val="00675F8E"/>
    <w:rsid w:val="00676463"/>
    <w:rsid w:val="0068769C"/>
    <w:rsid w:val="00691307"/>
    <w:rsid w:val="006924AE"/>
    <w:rsid w:val="00693A08"/>
    <w:rsid w:val="006B1E30"/>
    <w:rsid w:val="006B7265"/>
    <w:rsid w:val="006C3945"/>
    <w:rsid w:val="006C4062"/>
    <w:rsid w:val="006C4836"/>
    <w:rsid w:val="006C4B4F"/>
    <w:rsid w:val="006C4BD8"/>
    <w:rsid w:val="006E7CFE"/>
    <w:rsid w:val="007031A8"/>
    <w:rsid w:val="00707D67"/>
    <w:rsid w:val="00715295"/>
    <w:rsid w:val="00715D7D"/>
    <w:rsid w:val="0072797E"/>
    <w:rsid w:val="00735CDD"/>
    <w:rsid w:val="007430F7"/>
    <w:rsid w:val="007431BE"/>
    <w:rsid w:val="007475E2"/>
    <w:rsid w:val="00747C76"/>
    <w:rsid w:val="00756C55"/>
    <w:rsid w:val="00762AC4"/>
    <w:rsid w:val="00776310"/>
    <w:rsid w:val="007811B5"/>
    <w:rsid w:val="0079000A"/>
    <w:rsid w:val="0079357C"/>
    <w:rsid w:val="0079646D"/>
    <w:rsid w:val="007B748F"/>
    <w:rsid w:val="007C112B"/>
    <w:rsid w:val="007C22DF"/>
    <w:rsid w:val="007D026C"/>
    <w:rsid w:val="007D2672"/>
    <w:rsid w:val="007F433F"/>
    <w:rsid w:val="00803CC1"/>
    <w:rsid w:val="00824E89"/>
    <w:rsid w:val="008353CE"/>
    <w:rsid w:val="00845E81"/>
    <w:rsid w:val="00846B31"/>
    <w:rsid w:val="00866424"/>
    <w:rsid w:val="0087540C"/>
    <w:rsid w:val="008763B6"/>
    <w:rsid w:val="00894752"/>
    <w:rsid w:val="008A1855"/>
    <w:rsid w:val="008A4B7B"/>
    <w:rsid w:val="008D7938"/>
    <w:rsid w:val="008E5973"/>
    <w:rsid w:val="008F1DCF"/>
    <w:rsid w:val="008F3F03"/>
    <w:rsid w:val="008F516A"/>
    <w:rsid w:val="009344AB"/>
    <w:rsid w:val="0095135C"/>
    <w:rsid w:val="00954192"/>
    <w:rsid w:val="009801AC"/>
    <w:rsid w:val="00983F83"/>
    <w:rsid w:val="00987803"/>
    <w:rsid w:val="00996307"/>
    <w:rsid w:val="00997F33"/>
    <w:rsid w:val="009A5468"/>
    <w:rsid w:val="009C267D"/>
    <w:rsid w:val="009C697E"/>
    <w:rsid w:val="009D321F"/>
    <w:rsid w:val="009D4333"/>
    <w:rsid w:val="009D7D6B"/>
    <w:rsid w:val="009E5E92"/>
    <w:rsid w:val="00A00C65"/>
    <w:rsid w:val="00A01892"/>
    <w:rsid w:val="00A01E6B"/>
    <w:rsid w:val="00A063B8"/>
    <w:rsid w:val="00A10BC3"/>
    <w:rsid w:val="00A219C5"/>
    <w:rsid w:val="00A23019"/>
    <w:rsid w:val="00A34793"/>
    <w:rsid w:val="00A3533F"/>
    <w:rsid w:val="00A35B05"/>
    <w:rsid w:val="00A422FF"/>
    <w:rsid w:val="00A45FBD"/>
    <w:rsid w:val="00A46010"/>
    <w:rsid w:val="00A569E2"/>
    <w:rsid w:val="00A71594"/>
    <w:rsid w:val="00A73EFD"/>
    <w:rsid w:val="00A7533D"/>
    <w:rsid w:val="00A86818"/>
    <w:rsid w:val="00AA0797"/>
    <w:rsid w:val="00AD7C0B"/>
    <w:rsid w:val="00AE0EF0"/>
    <w:rsid w:val="00AE1CF5"/>
    <w:rsid w:val="00AE37D3"/>
    <w:rsid w:val="00AF0759"/>
    <w:rsid w:val="00AF1DA2"/>
    <w:rsid w:val="00B00969"/>
    <w:rsid w:val="00B12651"/>
    <w:rsid w:val="00B14BBC"/>
    <w:rsid w:val="00B46F3F"/>
    <w:rsid w:val="00B5070F"/>
    <w:rsid w:val="00B50B9F"/>
    <w:rsid w:val="00BA09E0"/>
    <w:rsid w:val="00BA571E"/>
    <w:rsid w:val="00BB50B2"/>
    <w:rsid w:val="00BB7E10"/>
    <w:rsid w:val="00BC0EC4"/>
    <w:rsid w:val="00BC11C3"/>
    <w:rsid w:val="00BD0F75"/>
    <w:rsid w:val="00BF1275"/>
    <w:rsid w:val="00BF1333"/>
    <w:rsid w:val="00C05B55"/>
    <w:rsid w:val="00C1582E"/>
    <w:rsid w:val="00C16F40"/>
    <w:rsid w:val="00C31090"/>
    <w:rsid w:val="00C60DA9"/>
    <w:rsid w:val="00C64CAE"/>
    <w:rsid w:val="00C663FB"/>
    <w:rsid w:val="00C745CB"/>
    <w:rsid w:val="00C80B5E"/>
    <w:rsid w:val="00C82520"/>
    <w:rsid w:val="00C94360"/>
    <w:rsid w:val="00CA0F52"/>
    <w:rsid w:val="00CB2488"/>
    <w:rsid w:val="00CC0CD5"/>
    <w:rsid w:val="00CC3EA0"/>
    <w:rsid w:val="00CC649C"/>
    <w:rsid w:val="00CC7F2D"/>
    <w:rsid w:val="00CD2DA3"/>
    <w:rsid w:val="00CD3DFD"/>
    <w:rsid w:val="00CD5932"/>
    <w:rsid w:val="00CE48B3"/>
    <w:rsid w:val="00CF66A1"/>
    <w:rsid w:val="00D00699"/>
    <w:rsid w:val="00D03D38"/>
    <w:rsid w:val="00D12BBA"/>
    <w:rsid w:val="00D224C0"/>
    <w:rsid w:val="00D2796F"/>
    <w:rsid w:val="00D31A25"/>
    <w:rsid w:val="00D413BA"/>
    <w:rsid w:val="00D971E7"/>
    <w:rsid w:val="00DA0B92"/>
    <w:rsid w:val="00DB0000"/>
    <w:rsid w:val="00DC2449"/>
    <w:rsid w:val="00DD2071"/>
    <w:rsid w:val="00DD53CF"/>
    <w:rsid w:val="00DE2832"/>
    <w:rsid w:val="00DE3574"/>
    <w:rsid w:val="00E013CE"/>
    <w:rsid w:val="00E020EA"/>
    <w:rsid w:val="00E154E3"/>
    <w:rsid w:val="00E278EE"/>
    <w:rsid w:val="00E33BC4"/>
    <w:rsid w:val="00E50891"/>
    <w:rsid w:val="00E50AFA"/>
    <w:rsid w:val="00E80B66"/>
    <w:rsid w:val="00E90311"/>
    <w:rsid w:val="00EA0F0C"/>
    <w:rsid w:val="00EC3E14"/>
    <w:rsid w:val="00EC3F13"/>
    <w:rsid w:val="00EC4809"/>
    <w:rsid w:val="00EC54CC"/>
    <w:rsid w:val="00EC7DB8"/>
    <w:rsid w:val="00ED2A9A"/>
    <w:rsid w:val="00ED6934"/>
    <w:rsid w:val="00F031AC"/>
    <w:rsid w:val="00F10313"/>
    <w:rsid w:val="00F145B5"/>
    <w:rsid w:val="00F14E47"/>
    <w:rsid w:val="00F321DF"/>
    <w:rsid w:val="00F32F67"/>
    <w:rsid w:val="00F36683"/>
    <w:rsid w:val="00F37F32"/>
    <w:rsid w:val="00F41E30"/>
    <w:rsid w:val="00F51449"/>
    <w:rsid w:val="00F56E13"/>
    <w:rsid w:val="00F633AE"/>
    <w:rsid w:val="00F746A2"/>
    <w:rsid w:val="00F864FD"/>
    <w:rsid w:val="00F95C26"/>
    <w:rsid w:val="00FB0B1D"/>
    <w:rsid w:val="00FB47E9"/>
    <w:rsid w:val="00FB4BA1"/>
    <w:rsid w:val="00FC27C7"/>
    <w:rsid w:val="00FC38F8"/>
    <w:rsid w:val="00FE6243"/>
    <w:rsid w:val="00FE764E"/>
    <w:rsid w:val="00FF123C"/>
    <w:rsid w:val="00FF16E6"/>
    <w:rsid w:val="00FF3A22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566B"/>
  <w15:docId w15:val="{8F378414-EC0F-48C3-B2AC-BD827C58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B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105"/>
    <w:rPr>
      <w:color w:val="800080" w:themeColor="followedHyperlink"/>
      <w:u w:val="single"/>
    </w:rPr>
  </w:style>
  <w:style w:type="table" w:styleId="LightShading-Accent2">
    <w:name w:val="Light Shading Accent 2"/>
    <w:basedOn w:val="TableNormal"/>
    <w:uiPriority w:val="60"/>
    <w:rsid w:val="00CC7F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6C483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NormalWeb">
    <w:name w:val="Normal (Web)"/>
    <w:basedOn w:val="Normal"/>
    <w:uiPriority w:val="99"/>
    <w:unhideWhenUsed/>
    <w:rsid w:val="00707D6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7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32"/>
    <w:rPr>
      <w:b/>
      <w:bCs/>
      <w:sz w:val="20"/>
      <w:szCs w:val="20"/>
    </w:rPr>
  </w:style>
  <w:style w:type="table" w:styleId="LightList-Accent6">
    <w:name w:val="Light List Accent 6"/>
    <w:basedOn w:val="TableNormal"/>
    <w:uiPriority w:val="61"/>
    <w:rsid w:val="00F746A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Strong">
    <w:name w:val="Strong"/>
    <w:basedOn w:val="DefaultParagraphFont"/>
    <w:uiPriority w:val="22"/>
    <w:qFormat/>
    <w:rsid w:val="00AA0797"/>
    <w:rPr>
      <w:b/>
      <w:bCs/>
    </w:rPr>
  </w:style>
  <w:style w:type="table" w:styleId="LightGrid-Accent6">
    <w:name w:val="Light Grid Accent 6"/>
    <w:basedOn w:val="TableNormal"/>
    <w:uiPriority w:val="62"/>
    <w:rsid w:val="006B726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8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66C"/>
  </w:style>
  <w:style w:type="paragraph" w:styleId="Footer">
    <w:name w:val="footer"/>
    <w:basedOn w:val="Normal"/>
    <w:link w:val="FooterChar"/>
    <w:uiPriority w:val="99"/>
    <w:unhideWhenUsed/>
    <w:rsid w:val="0018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66C"/>
  </w:style>
  <w:style w:type="character" w:styleId="UnresolvedMention">
    <w:name w:val="Unresolved Mention"/>
    <w:basedOn w:val="DefaultParagraphFont"/>
    <w:uiPriority w:val="99"/>
    <w:semiHidden/>
    <w:unhideWhenUsed/>
    <w:rsid w:val="00562F15"/>
    <w:rPr>
      <w:color w:val="605E5C"/>
      <w:shd w:val="clear" w:color="auto" w:fill="E1DFDD"/>
    </w:rPr>
  </w:style>
  <w:style w:type="paragraph" w:styleId="BlockText">
    <w:name w:val="Block Text"/>
    <w:basedOn w:val="Normal"/>
    <w:rsid w:val="005456DE"/>
    <w:pPr>
      <w:widowControl w:val="0"/>
      <w:spacing w:after="0" w:line="240" w:lineRule="auto"/>
      <w:ind w:left="1440" w:right="1440"/>
    </w:pPr>
    <w:rPr>
      <w:rFonts w:ascii="Arial" w:eastAsia="Times New Roman" w:hAnsi="Arial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2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39447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3396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122633402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808080"/>
                                                <w:left w:val="single" w:sz="6" w:space="0" w:color="808080"/>
                                                <w:bottom w:val="single" w:sz="6" w:space="0" w:color="808080"/>
                                                <w:right w:val="single" w:sz="6" w:space="0" w:color="808080"/>
                                              </w:divBdr>
                                              <w:divsChild>
                                                <w:div w:id="4070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5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48432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9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9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6758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5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180993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1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3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6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8000"/>
                                        <w:left w:val="single" w:sz="2" w:space="0" w:color="008000"/>
                                        <w:bottom w:val="single" w:sz="2" w:space="0" w:color="008000"/>
                                        <w:right w:val="single" w:sz="2" w:space="0" w:color="008000"/>
                                      </w:divBdr>
                                      <w:divsChild>
                                        <w:div w:id="62554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89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8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ileshare.csgengr.com/sharing/K1Oa7are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@elsegundo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ileshare.csgengr.com/sharing/tdey9D8K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3921AD2BD634881275FBBCA120B0B" ma:contentTypeVersion="13" ma:contentTypeDescription="Create a new document." ma:contentTypeScope="" ma:versionID="365c990adc65ab23d13d59fa57c1a9dc">
  <xsd:schema xmlns:xsd="http://www.w3.org/2001/XMLSchema" xmlns:xs="http://www.w3.org/2001/XMLSchema" xmlns:p="http://schemas.microsoft.com/office/2006/metadata/properties" xmlns:ns2="0a174540-49df-48c1-b970-7e373efdc76d" xmlns:ns3="049838f7-5ad1-4192-88a3-f89ddeb7e984" targetNamespace="http://schemas.microsoft.com/office/2006/metadata/properties" ma:root="true" ma:fieldsID="4ea10f12606829102ac0eada2d8de918" ns2:_="" ns3:_="">
    <xsd:import namespace="0a174540-49df-48c1-b970-7e373efdc76d"/>
    <xsd:import namespace="049838f7-5ad1-4192-88a3-f89ddeb7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74540-49df-48c1-b970-7e373efdc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838f7-5ad1-4192-88a3-f89ddeb7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F2F5-99F4-4008-80E3-369B199D7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74540-49df-48c1-b970-7e373efdc76d"/>
    <ds:schemaRef ds:uri="049838f7-5ad1-4192-88a3-f89ddeb7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1A65F-62CA-4D98-B9C5-21ED5DB43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29BE-1288-4EBD-9351-7D11AE9D1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C186D-1B18-4AE1-B305-D278D26D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leilac@csgengr.com</dc:creator>
  <cp:lastModifiedBy>Leila Carver</cp:lastModifiedBy>
  <cp:revision>21</cp:revision>
  <cp:lastPrinted>2017-08-10T21:48:00Z</cp:lastPrinted>
  <dcterms:created xsi:type="dcterms:W3CDTF">2021-06-16T23:48:00Z</dcterms:created>
  <dcterms:modified xsi:type="dcterms:W3CDTF">2021-08-30T23:06:00Z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0x0101005323921AD2BD634881275FBBCA120B0B</vt:lpwstr>
  </property>
</Properties>
</file>